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definito"/>
        <w:widowControl w:val="false"/>
        <w:spacing w:lineRule="auto" w:line="276" w:before="0" w:after="200"/>
        <w:jc w:val="center"/>
        <w:rPr/>
      </w:pPr>
      <w:r>
        <w:rPr/>
      </w:r>
    </w:p>
    <w:p>
      <w:pPr>
        <w:pStyle w:val="Predefinito"/>
        <w:widowControl w:val="false"/>
        <w:spacing w:lineRule="auto" w:line="276" w:before="0" w:after="200"/>
        <w:rPr>
          <w:rFonts w:ascii="Ubuntu" w:hAnsi="Ubuntu"/>
        </w:rPr>
      </w:pPr>
      <w:r>
        <w:rPr>
          <w:rFonts w:ascii="Ubuntu" w:hAnsi="Ubuntu"/>
          <w:sz w:val="22"/>
        </w:rPr>
        <w:t xml:space="preserve">Spett.le </w:t>
      </w:r>
      <w:r>
        <w:rPr>
          <w:rFonts w:ascii="Ubuntu" w:hAnsi="Ubuntu"/>
          <w:sz w:val="22"/>
          <w:highlight w:val="yellow"/>
        </w:rPr>
        <w:t>Banca Popolare di Sostegno</w:t>
      </w:r>
    </w:p>
    <w:p>
      <w:pPr>
        <w:pStyle w:val="Predefinito"/>
        <w:widowControl w:val="false"/>
        <w:spacing w:lineRule="auto" w:line="276" w:before="0" w:after="200"/>
        <w:rPr>
          <w:rFonts w:ascii="Ubuntu" w:hAnsi="Ubuntu"/>
        </w:rPr>
      </w:pPr>
      <w:r>
        <w:rPr>
          <w:rFonts w:ascii="Ubuntu" w:hAnsi="Ubuntu"/>
          <w:sz w:val="22"/>
          <w:highlight w:val="yellow"/>
        </w:rPr>
        <w:t>Filiale di Sostegno</w:t>
      </w:r>
    </w:p>
    <w:p>
      <w:pPr>
        <w:pStyle w:val="Predefinito"/>
        <w:widowControl w:val="false"/>
        <w:spacing w:lineRule="auto" w:line="276" w:before="0" w:after="200"/>
        <w:rPr>
          <w:rFonts w:ascii="Ubuntu" w:hAnsi="Ubuntu"/>
        </w:rPr>
      </w:pPr>
      <w:r>
        <w:rPr>
          <w:rFonts w:ascii="Ubuntu" w:hAnsi="Ubuntu"/>
          <w:sz w:val="22"/>
          <w:highlight w:val="yellow"/>
        </w:rPr>
        <w:t>99999-Sostegno-via Diotaiuti, 2017</w:t>
      </w:r>
    </w:p>
    <w:p>
      <w:pPr>
        <w:pStyle w:val="Predefinito"/>
        <w:widowControl w:val="false"/>
        <w:spacing w:lineRule="auto" w:line="276" w:before="0" w:after="200"/>
        <w:rPr/>
      </w:pPr>
      <w:r>
        <w:rPr>
          <w:rFonts w:ascii="Ubuntu" w:hAnsi="Ubuntu"/>
          <w:sz w:val="22"/>
          <w:highlight w:val="yellow"/>
        </w:rPr>
        <w:t xml:space="preserve">Sostegno-URBE – </w:t>
      </w:r>
      <w:r>
        <w:rPr>
          <w:rFonts w:ascii="Ubuntu" w:hAnsi="Ubuntu"/>
          <w:sz w:val="22"/>
          <w:highlight w:val="yellow"/>
        </w:rPr>
        <w:t>PEC: xxxxxxxxxxxxxxxx</w:t>
      </w:r>
    </w:p>
    <w:p>
      <w:pPr>
        <w:pStyle w:val="TextBody"/>
        <w:widowControl w:val="false"/>
        <w:spacing w:lineRule="auto" w:line="276" w:before="0" w:after="200"/>
        <w:rPr>
          <w:rFonts w:ascii="Ubuntu" w:hAnsi="Ubuntu"/>
        </w:rPr>
      </w:pPr>
      <w:r>
        <w:rPr>
          <w:rFonts w:ascii="Ubuntu" w:hAnsi="Ubuntu"/>
        </w:rPr>
        <w:t>e p.c.</w:t>
      </w:r>
    </w:p>
    <w:p>
      <w:pPr>
        <w:pStyle w:val="TextBody"/>
        <w:rPr>
          <w:rFonts w:ascii="Ubuntu" w:hAnsi="Ubuntu"/>
        </w:rPr>
      </w:pPr>
      <w:r>
        <w:rPr>
          <w:rFonts w:ascii="Ubuntu" w:hAnsi="Ubuntu"/>
        </w:rPr>
        <w:t>- Banca d’Italia</w:t>
      </w:r>
    </w:p>
    <w:p>
      <w:pPr>
        <w:pStyle w:val="TextBody"/>
        <w:rPr/>
      </w:pPr>
      <w:r>
        <w:rPr>
          <w:rFonts w:ascii="Ubuntu" w:hAnsi="Ubuntu"/>
        </w:rPr>
        <w:t xml:space="preserve">Pec: </w:t>
      </w:r>
      <w:hyperlink r:id="rId2">
        <w:r>
          <w:rPr>
            <w:rStyle w:val="InternetLink"/>
            <w:rFonts w:ascii="Ubuntu" w:hAnsi="Ubuntu"/>
          </w:rPr>
          <w:t>bancaditalia@pec.bancaditalia.it</w:t>
        </w:r>
      </w:hyperlink>
    </w:p>
    <w:p>
      <w:pPr>
        <w:pStyle w:val="TextBody"/>
        <w:rPr/>
      </w:pPr>
      <w:r>
        <w:rPr>
          <w:rFonts w:ascii="Ubuntu" w:hAnsi="Ubuntu"/>
        </w:rPr>
        <w:t>- A.G.C.M. (Autorità Garante della Concorrenza e del Mercato)</w:t>
      </w:r>
    </w:p>
    <w:p>
      <w:pPr>
        <w:pStyle w:val="TextBody"/>
        <w:rPr/>
      </w:pPr>
      <w:r>
        <w:rPr>
          <w:rFonts w:ascii="Ubuntu" w:hAnsi="Ubuntu"/>
        </w:rPr>
        <w:t xml:space="preserve">Pec: </w:t>
      </w:r>
      <w:hyperlink r:id="rId3">
        <w:r>
          <w:rPr>
            <w:rStyle w:val="InternetLink"/>
            <w:rFonts w:ascii="Ubuntu" w:hAnsi="Ubuntu"/>
          </w:rPr>
          <w:t>protocollo.agcm@pec.agcm.it</w:t>
        </w:r>
      </w:hyperlink>
    </w:p>
    <w:p>
      <w:pPr>
        <w:pStyle w:val="TextBody"/>
        <w:rPr>
          <w:rFonts w:ascii="Ubuntu" w:hAnsi="Ubuntu"/>
        </w:rPr>
      </w:pPr>
      <w:r>
        <w:rPr/>
      </w:r>
    </w:p>
    <w:p>
      <w:pPr>
        <w:pStyle w:val="TextBody"/>
        <w:rPr>
          <w:rFonts w:ascii="Ubuntu" w:hAnsi="Ubuntu"/>
        </w:rPr>
      </w:pPr>
      <w:r>
        <w:rPr>
          <w:rFonts w:ascii="Ubuntu" w:hAnsi="Ubuntu"/>
        </w:rPr>
        <w:t>VIA PEC</w:t>
      </w:r>
    </w:p>
    <w:p>
      <w:pPr>
        <w:pStyle w:val="TextBody"/>
        <w:rPr>
          <w:rFonts w:ascii="Ubuntu" w:hAnsi="Ubuntu"/>
        </w:rPr>
      </w:pPr>
      <w:r>
        <w:rPr>
          <w:rFonts w:ascii="Ubuntu" w:hAnsi="Ubuntu"/>
        </w:rPr>
      </w:r>
    </w:p>
    <w:p>
      <w:pPr>
        <w:pStyle w:val="TextBody"/>
        <w:rPr/>
      </w:pPr>
      <w:r>
        <w:rPr>
          <w:rFonts w:ascii="Ubuntu" w:hAnsi="Ubuntu"/>
        </w:rPr>
        <w:t xml:space="preserve">In relazione al vostro preteso credito di €  </w:t>
      </w:r>
      <w:r>
        <w:rPr>
          <w:rStyle w:val="StrongEmphasis"/>
          <w:rFonts w:ascii="Ubuntu" w:hAnsi="Ubuntu"/>
          <w:sz w:val="22"/>
          <w:highlight w:val="yellow"/>
        </w:rPr>
        <w:t>6.582,00</w:t>
      </w:r>
    </w:p>
    <w:p>
      <w:pPr>
        <w:pStyle w:val="TextBody"/>
        <w:rPr>
          <w:rFonts w:ascii="Ubuntu" w:hAnsi="Ubuntu"/>
        </w:rPr>
      </w:pPr>
      <w:r>
        <w:rPr>
          <w:rFonts w:ascii="Ubuntu" w:hAnsi="Ubuntu"/>
        </w:rPr>
        <w:t xml:space="preserve">Io sottoscritto </w:t>
      </w:r>
      <w:r>
        <w:rPr>
          <w:rFonts w:ascii="Ubuntu" w:hAnsi="Ubuntu"/>
          <w:sz w:val="22"/>
          <w:highlight w:val="yellow"/>
        </w:rPr>
        <w:t>Mario Rossi</w:t>
      </w:r>
    </w:p>
    <w:p>
      <w:pPr>
        <w:pStyle w:val="TextBody"/>
        <w:rPr>
          <w:rFonts w:ascii="Ubuntu" w:hAnsi="Ubuntu"/>
        </w:rPr>
      </w:pPr>
      <w:r>
        <w:rPr>
          <w:rFonts w:ascii="Ubuntu" w:hAnsi="Ubuntu"/>
        </w:rPr>
        <w:t>PREMESSO CHE:</w:t>
      </w:r>
    </w:p>
    <w:p>
      <w:pPr>
        <w:pStyle w:val="TextBody"/>
        <w:rPr/>
      </w:pPr>
      <w:r>
        <w:rPr>
          <w:rFonts w:ascii="Ubuntu" w:hAnsi="Ubuntu"/>
        </w:rPr>
        <w:t>1 – Lo Stato, come pure BRI, BCE, EBA e KMPG, ammett</w:t>
      </w:r>
      <w:r>
        <w:rPr>
          <w:rFonts w:ascii="Ubuntu" w:hAnsi="Ubuntu"/>
        </w:rPr>
        <w:t>e</w:t>
      </w:r>
      <w:r>
        <w:rPr>
          <w:rFonts w:ascii="Ubuntu" w:hAnsi="Ubuntu"/>
        </w:rPr>
        <w:t xml:space="preserve"> e accetta la prassi con cui le banche </w:t>
      </w:r>
      <w:r>
        <w:rPr>
          <w:rFonts w:ascii="Ubuntu" w:hAnsi="Ubuntu"/>
        </w:rPr>
        <w:t>sommerciali</w:t>
      </w:r>
      <w:r>
        <w:rPr>
          <w:rFonts w:ascii="Ubuntu" w:hAnsi="Ubuntu"/>
        </w:rPr>
        <w:t xml:space="preserve"> creano moneta scritturale nell’erogare prestiti e pagamenti (realizzando così un ricavo, seppur non contabilizzato e pertanto sottratto all’imposizione tributaria); recentemente abbiamo avuto anche l’ammissione da parte della Banca d’Italia, in persona di Carmelo Barbagallo, </w:t>
      </w:r>
      <w:r>
        <w:rPr>
          <w:rFonts w:ascii="Ubuntu" w:hAnsi="Ubuntu"/>
        </w:rPr>
        <w:t xml:space="preserve">ispettore </w:t>
      </w:r>
      <w:r>
        <w:rPr>
          <w:rFonts w:ascii="Ubuntu" w:hAnsi="Ubuntu"/>
        </w:rPr>
        <w:t>capo della Vigilanza, avvenuta come risposta scritta a un’interrogazione dell’</w:t>
      </w:r>
      <w:r>
        <w:rPr>
          <w:rFonts w:ascii="Ubuntu" w:hAnsi="Ubuntu"/>
        </w:rPr>
        <w:t>O</w:t>
      </w:r>
      <w:r>
        <w:rPr>
          <w:rFonts w:ascii="Ubuntu" w:hAnsi="Ubuntu"/>
        </w:rPr>
        <w:t>n. Alessio Mattia Villarosa, nella Commissione Finanze congiunta Camera-Senato, del 17.01.17;</w:t>
      </w:r>
    </w:p>
    <w:p>
      <w:pPr>
        <w:pStyle w:val="TextBody"/>
        <w:rPr/>
      </w:pPr>
      <w:r>
        <w:rPr>
          <w:rFonts w:ascii="Ubuntu" w:hAnsi="Ubuntu"/>
        </w:rPr>
        <w:t xml:space="preserve">– </w:t>
      </w:r>
      <w:r>
        <w:rPr>
          <w:rFonts w:ascii="Ubuntu" w:hAnsi="Ubuntu"/>
        </w:rPr>
        <w:t>ved</w:t>
      </w:r>
      <w:r>
        <w:rPr>
          <w:rFonts w:ascii="Ubuntu" w:hAnsi="Ubuntu"/>
        </w:rPr>
        <w:t>ere</w:t>
      </w:r>
      <w:r>
        <w:rPr>
          <w:rFonts w:ascii="Ubuntu" w:hAnsi="Ubuntu"/>
        </w:rPr>
        <w:t xml:space="preserve"> il video: </w:t>
      </w:r>
      <w:hyperlink r:id="rId4">
        <w:r>
          <w:rPr>
            <w:rStyle w:val="InternetLink"/>
            <w:rFonts w:ascii="Ubuntu" w:hAnsi="Ubuntu"/>
          </w:rPr>
          <w:t>https://www.youtube.com/watch?v=WPmObU-V4lk</w:t>
        </w:r>
      </w:hyperlink>
      <w:r>
        <w:rPr>
          <w:rFonts w:ascii="Ubuntu" w:hAnsi="Ubuntu"/>
        </w:rPr>
        <w:t xml:space="preserve"> </w:t>
      </w:r>
    </w:p>
    <w:p>
      <w:pPr>
        <w:pStyle w:val="TextBody"/>
        <w:rPr/>
      </w:pPr>
      <w:r>
        <w:rPr>
          <w:rFonts w:ascii="Ubuntu" w:hAnsi="Ubuntu"/>
        </w:rPr>
        <w:t>- ved</w:t>
      </w:r>
      <w:r>
        <w:rPr>
          <w:rFonts w:ascii="Ubuntu" w:hAnsi="Ubuntu"/>
        </w:rPr>
        <w:t>ere</w:t>
      </w:r>
      <w:r>
        <w:rPr>
          <w:rFonts w:ascii="Ubuntu" w:hAnsi="Ubuntu"/>
        </w:rPr>
        <w:t xml:space="preserve"> il documento:</w:t>
      </w:r>
    </w:p>
    <w:p>
      <w:pPr>
        <w:pStyle w:val="TextBody"/>
        <w:rPr/>
      </w:pPr>
      <w:hyperlink r:id="rId5">
        <w:r>
          <w:rPr>
            <w:rStyle w:val="InternetLink"/>
            <w:rFonts w:ascii="Ubuntu" w:hAnsi="Ubuntu"/>
          </w:rPr>
          <w:t>https://www.scribd.com/document/340805543/Prova-forense-Banca-d-Italia-su-creazione-di-moneta-e-di-depositi</w:t>
        </w:r>
      </w:hyperlink>
    </w:p>
    <w:p>
      <w:pPr>
        <w:pStyle w:val="TextBody"/>
        <w:rPr/>
      </w:pPr>
      <w:r>
        <w:rPr>
          <w:rFonts w:ascii="Ubuntu" w:hAnsi="Ubuntu"/>
        </w:rPr>
        <w:t xml:space="preserve">- quindi la prassi della creazione di “euro”, allo scoperto, è verità ufficiale. </w:t>
      </w:r>
    </w:p>
    <w:p>
      <w:pPr>
        <w:pStyle w:val="TextBody"/>
        <w:rPr/>
      </w:pPr>
      <w:r>
        <w:rPr>
          <w:rFonts w:ascii="Ubuntu" w:hAnsi="Ubuntu"/>
        </w:rPr>
        <w:t>2 - I</w:t>
      </w:r>
      <w:r>
        <w:rPr>
          <w:rStyle w:val="StrongEmphasis"/>
          <w:rFonts w:ascii="Ubuntu" w:hAnsi="Ubuntu"/>
        </w:rPr>
        <w:t xml:space="preserve">l Tribunale di Bolzano, con l’ordinanza 06/09/16 resa nella pendente esecuzione forzata rg 216/14, </w:t>
      </w:r>
      <w:r>
        <w:rPr>
          <w:rStyle w:val="StrongEmphasis"/>
          <w:rFonts w:ascii="Ubuntu" w:hAnsi="Ubuntu"/>
        </w:rPr>
        <w:t xml:space="preserve">ha </w:t>
      </w:r>
      <w:r>
        <w:rPr>
          <w:rStyle w:val="StrongEmphasis"/>
          <w:rFonts w:ascii="Ubuntu" w:hAnsi="Ubuntu"/>
        </w:rPr>
        <w:t>afferma</w:t>
      </w:r>
      <w:r>
        <w:rPr>
          <w:rStyle w:val="StrongEmphasis"/>
          <w:rFonts w:ascii="Ubuntu" w:hAnsi="Ubuntu"/>
        </w:rPr>
        <w:t>to</w:t>
      </w:r>
      <w:r>
        <w:rPr>
          <w:rFonts w:ascii="Ubuntu" w:hAnsi="Ubuntu"/>
        </w:rPr>
        <w:t xml:space="preserve">: </w:t>
      </w:r>
      <w:r>
        <w:rPr>
          <w:rFonts w:ascii="Ubuntu" w:hAnsi="Ubuntu"/>
          <w:i/>
          <w:iCs/>
        </w:rPr>
        <w:t>“quanto, invece, alla violazione dell’art 127 (ex art 105) del trattato istitutivo dell’Unione Europea, non si capisce per quale motivo la creazione di moneta attraverso il sistema bancario possa violare tale norma, che nulla dispone in tal senso, come è assolutamente irrilevante il riferimento all’art 10 TUB, che non vieta tale sistema, posto che comunque l’Euro è una moneta non rappresentativa, per cui non è richiesto un controvalore per ogni biglietto stampato come all’era del sistema aureo…”.</w:t>
      </w:r>
    </w:p>
    <w:p>
      <w:pPr>
        <w:pStyle w:val="TextBody"/>
        <w:rPr>
          <w:rFonts w:ascii="Ubuntu" w:hAnsi="Ubuntu"/>
        </w:rPr>
      </w:pPr>
      <w:r>
        <w:rPr>
          <w:rFonts w:ascii="Ubuntu" w:hAnsi="Ubuntu"/>
        </w:rPr>
        <w:t>3 - Questa facoltà delle banche non centrali di creare e depositare euro digitali in assenza di qualsiasi norma di legge che conferisca loro questa facoltà, è riconosciuta in base al principio che ciò che non è proibito o riservato, è lecito.</w:t>
      </w:r>
    </w:p>
    <w:p>
      <w:pPr>
        <w:pStyle w:val="TextBody"/>
        <w:rPr/>
      </w:pPr>
      <w:r>
        <w:rPr>
          <w:rFonts w:ascii="Ubuntu" w:hAnsi="Ubuntu"/>
        </w:rPr>
        <w:t>4 - In forza del</w:t>
      </w:r>
      <w:r>
        <w:rPr>
          <w:rStyle w:val="StrongEmphasis"/>
          <w:rFonts w:ascii="Ubuntu" w:hAnsi="Ubuntu"/>
        </w:rPr>
        <w:t xml:space="preserve"> principio di uguaglianza</w:t>
      </w:r>
      <w:r>
        <w:rPr>
          <w:rFonts w:ascii="Ubuntu" w:hAnsi="Ubuntu"/>
        </w:rPr>
        <w:t> </w:t>
      </w:r>
      <w:r>
        <w:rPr>
          <w:rFonts w:ascii="Ubuntu" w:hAnsi="Ubuntu"/>
        </w:rPr>
        <w:t>(</w:t>
      </w:r>
      <w:r>
        <w:rPr>
          <w:rFonts w:ascii="Ubuntu" w:hAnsi="Ubuntu"/>
          <w:i/>
          <w:iCs/>
        </w:rPr>
        <w:t>par condicio</w:t>
      </w:r>
      <w:r>
        <w:rPr>
          <w:rFonts w:ascii="Ubuntu" w:hAnsi="Ubuntu"/>
        </w:rPr>
        <w:t xml:space="preserve">) </w:t>
      </w:r>
      <w:r>
        <w:rPr>
          <w:rFonts w:ascii="Ubuntu" w:hAnsi="Ubuntu"/>
        </w:rPr>
        <w:t>sancito dall’art. 3 della Costituzione, il predetto principio si applica a tutti i soggetti; dunque tutti, non solo le banche, possono </w:t>
      </w:r>
      <w:r>
        <w:rPr>
          <w:rStyle w:val="StrongEmphasis"/>
          <w:rFonts w:ascii="Ubuntu" w:hAnsi="Ubuntu"/>
        </w:rPr>
        <w:t xml:space="preserve">creare </w:t>
      </w:r>
      <w:r>
        <w:rPr>
          <w:rStyle w:val="StrongEmphasis"/>
          <w:rFonts w:ascii="Ubuntu" w:hAnsi="Ubuntu"/>
          <w:b w:val="false"/>
          <w:bCs w:val="false"/>
        </w:rPr>
        <w:t>d</w:t>
      </w:r>
      <w:r>
        <w:rPr>
          <w:rStyle w:val="StrongEmphasis"/>
          <w:rFonts w:ascii="Ubuntu" w:hAnsi="Ubuntu"/>
          <w:b w:val="false"/>
          <w:bCs w:val="false"/>
        </w:rPr>
        <w:t>e</w:t>
      </w:r>
      <w:r>
        <w:rPr>
          <w:rStyle w:val="StrongEmphasis"/>
          <w:rFonts w:ascii="Ubuntu" w:hAnsi="Ubuntu"/>
          <w:b w:val="false"/>
          <w:bCs w:val="false"/>
        </w:rPr>
        <w:t>naro </w:t>
      </w:r>
      <w:r>
        <w:rPr>
          <w:rStyle w:val="StrongEmphasis"/>
          <w:rFonts w:ascii="Ubuntu" w:hAnsi="Ubuntu"/>
          <w:b w:val="false"/>
          <w:bCs w:val="false"/>
        </w:rPr>
        <w:t>scritturale</w:t>
      </w:r>
      <w:r>
        <w:rPr>
          <w:rFonts w:ascii="Ubuntu" w:hAnsi="Ubuntu"/>
        </w:rPr>
        <w:t xml:space="preserve"> denominato in euro, mentre la semplice “</w:t>
      </w:r>
      <w:r>
        <w:rPr>
          <w:rStyle w:val="StrongEmphasis"/>
          <w:rFonts w:ascii="Ubuntu" w:hAnsi="Ubuntu"/>
        </w:rPr>
        <w:t>emissione contro fondi preesistenti</w:t>
      </w:r>
      <w:r>
        <w:rPr>
          <w:rStyle w:val="StrongEmphasis"/>
          <w:rFonts w:ascii="Ubuntu" w:hAnsi="Ubuntu"/>
          <w:b w:val="false"/>
          <w:bCs w:val="false"/>
        </w:rPr>
        <w:t>”</w:t>
      </w:r>
      <w:r>
        <w:rPr>
          <w:rFonts w:ascii="Ubuntu" w:hAnsi="Ubuntu"/>
        </w:rPr>
        <w:t> è normata e limitata a</w:t>
      </w:r>
      <w:r>
        <w:rPr>
          <w:rFonts w:ascii="Ubuntu" w:hAnsi="Ubuntu"/>
        </w:rPr>
        <w:t>gl</w:t>
      </w:r>
      <w:r>
        <w:rPr>
          <w:rFonts w:ascii="Ubuntu" w:hAnsi="Ubuntu"/>
        </w:rPr>
        <w:t xml:space="preserve">i </w:t>
      </w:r>
      <w:r>
        <w:rPr>
          <w:rFonts w:ascii="Ubuntu" w:hAnsi="Ubuntu"/>
        </w:rPr>
        <w:t xml:space="preserve">autorizzati secondo </w:t>
      </w:r>
      <w:r>
        <w:rPr>
          <w:rFonts w:ascii="Ubuntu" w:hAnsi="Ubuntu"/>
        </w:rPr>
        <w:t>i requisiti di legge;</w:t>
      </w:r>
    </w:p>
    <w:p>
      <w:pPr>
        <w:pStyle w:val="TextBody"/>
        <w:rPr>
          <w:rFonts w:ascii="Ubuntu" w:hAnsi="Ubuntu"/>
        </w:rPr>
      </w:pPr>
      <w:r>
        <w:rPr>
          <w:rFonts w:ascii="Ubuntu" w:hAnsi="Ubuntu"/>
        </w:rPr>
        <w:t>Tutto ciò premesso,</w:t>
      </w:r>
    </w:p>
    <w:p>
      <w:pPr>
        <w:pStyle w:val="TextBody"/>
        <w:widowControl w:val="false"/>
        <w:spacing w:lineRule="auto" w:line="276" w:before="0" w:after="200"/>
        <w:rPr/>
      </w:pPr>
      <w:r>
        <w:rPr>
          <w:rFonts w:ascii="Ubuntu" w:hAnsi="Ubuntu"/>
        </w:rPr>
        <w:t>Con la presente, e con la contabile di cui allego copia, in applicazione del principio enunciato dal Tribunale</w:t>
      </w:r>
      <w:r>
        <w:rPr>
          <w:rStyle w:val="StrongEmphasis"/>
          <w:rFonts w:ascii="Ubuntu" w:hAnsi="Ubuntu"/>
          <w:b w:val="false"/>
          <w:bCs w:val="false"/>
        </w:rPr>
        <w:t>, cioè al medesimo titolo e al medesimo modo in cui anche le banche creano il denaro scritturale che utilizzano,</w:t>
      </w:r>
      <w:r>
        <w:rPr>
          <w:rStyle w:val="StrongEmphasis"/>
          <w:rFonts w:ascii="Ubuntu" w:hAnsi="Ubuntu"/>
        </w:rPr>
        <w:t xml:space="preserve"> CREO </w:t>
      </w:r>
      <w:bookmarkStart w:id="0" w:name="__DdeLink__104_492266431"/>
      <w:r>
        <w:rPr>
          <w:rStyle w:val="StrongEmphasis"/>
          <w:rFonts w:ascii="Ubuntu" w:hAnsi="Ubuntu"/>
          <w:sz w:val="22"/>
          <w:highlight w:val="yellow"/>
        </w:rPr>
        <w:t>6.582,00</w:t>
      </w:r>
      <w:bookmarkEnd w:id="0"/>
      <w:r>
        <w:rPr>
          <w:rStyle w:val="StrongEmphasis"/>
          <w:rFonts w:ascii="Ubuntu" w:hAnsi="Ubuntu"/>
        </w:rPr>
        <w:t xml:space="preserve"> euro scritturali che qui vi invio, </w:t>
      </w:r>
      <w:r>
        <w:rPr>
          <w:rStyle w:val="StrongEmphasis"/>
          <w:rFonts w:ascii="Ubuntu" w:hAnsi="Ubuntu"/>
          <w:b w:val="false"/>
          <w:bCs w:val="false"/>
        </w:rPr>
        <w:t>i</w:t>
      </w:r>
      <w:r>
        <w:rPr>
          <w:rFonts w:ascii="Ubuntu" w:hAnsi="Ubuntu"/>
        </w:rPr>
        <w:t>nvitandovi a contabilizzarli correttamente come incasso immediato, ad estinzione del mio debito pregresso e con  azzeramento delle corrispondenti segnalazioni in CRIF ed in CENTRALE RISCHI, a Loro cura.</w:t>
      </w:r>
    </w:p>
    <w:p>
      <w:pPr>
        <w:pStyle w:val="Predefinito"/>
        <w:widowControl w:val="false"/>
        <w:spacing w:lineRule="auto" w:line="276" w:before="0" w:after="200"/>
        <w:rPr/>
      </w:pPr>
      <w:r>
        <w:rPr>
          <w:rFonts w:ascii="Ubuntu" w:hAnsi="Ubuntu"/>
          <w:sz w:val="20"/>
          <w:szCs w:val="20"/>
        </w:rPr>
        <w:t xml:space="preserve">Avvertenza: Non è necessario che rispondiate alla presente , la ricevuta della PEC vale per quietanza d’effettuato pagamento. </w:t>
      </w:r>
      <w:bookmarkStart w:id="1" w:name="__DdeLink__1094_159244490"/>
      <w:bookmarkEnd w:id="1"/>
      <w:r>
        <w:rPr>
          <w:rFonts w:ascii="Ubuntu" w:hAnsi="Ubuntu"/>
          <w:sz w:val="20"/>
          <w:szCs w:val="20"/>
        </w:rPr>
        <w:t>Qualora il pagamento non venisse accettato, il debito si considererà comunque estinto poiché non è consentito al creditore rifiutare moneta scritturale senza giustificato motivo  (</w:t>
      </w:r>
      <w:r>
        <w:rPr>
          <w:rFonts w:ascii="Ubuntu" w:hAnsi="Ubuntu"/>
          <w:sz w:val="20"/>
          <w:szCs w:val="20"/>
        </w:rPr>
        <w:t>Cass</w:t>
      </w:r>
      <w:r>
        <w:rPr>
          <w:rFonts w:ascii="Ubuntu" w:hAnsi="Ubuntu"/>
          <w:sz w:val="20"/>
          <w:szCs w:val="20"/>
        </w:rPr>
        <w:t>. S.U. sentenza n. 26617 del 18 dicembre 2007, ribadita da Tribunale di Cremona con ordinanza 31 marzo 2017, causa RG 2144/2016).</w:t>
      </w:r>
    </w:p>
    <w:p>
      <w:pPr>
        <w:pStyle w:val="Predefinito"/>
        <w:widowControl w:val="false"/>
        <w:spacing w:lineRule="auto" w:line="276" w:before="0" w:after="200"/>
        <w:rPr>
          <w:rFonts w:ascii="Ubuntu" w:hAnsi="Ubuntu"/>
        </w:rPr>
      </w:pPr>
      <w:r>
        <w:rPr>
          <w:rFonts w:ascii="Ubuntu" w:hAnsi="Ubuntu"/>
          <w:sz w:val="22"/>
        </w:rPr>
        <w:t>Cordiali saluti,</w:t>
      </w:r>
    </w:p>
    <w:p>
      <w:pPr>
        <w:pStyle w:val="Predefinito"/>
        <w:widowControl w:val="false"/>
        <w:spacing w:lineRule="auto" w:line="276" w:before="0" w:after="200"/>
        <w:rPr>
          <w:rStyle w:val="StrongEmphasis"/>
          <w:sz w:val="22"/>
        </w:rPr>
      </w:pPr>
      <w:r>
        <w:rPr>
          <w:rFonts w:ascii="Ubuntu" w:hAnsi="Ubuntu"/>
          <w:sz w:val="22"/>
          <w:highlight w:val="yellow"/>
        </w:rPr>
        <w:t>Mario Rossi</w:t>
      </w:r>
    </w:p>
    <w:p>
      <w:pPr>
        <w:pStyle w:val="TextBody"/>
        <w:widowControl w:val="false"/>
        <w:spacing w:lineRule="auto" w:line="276" w:before="0" w:after="200"/>
        <w:rPr/>
      </w:pPr>
      <w:r>
        <w:rPr>
          <w:rStyle w:val="StrongEmphasis"/>
          <w:sz w:val="20"/>
          <w:szCs w:val="20"/>
        </w:rPr>
        <w:t>Scrittura contabile di creazione di euro digitali</w:t>
      </w:r>
    </w:p>
    <w:p>
      <w:pPr>
        <w:pStyle w:val="TextBody"/>
        <w:rPr/>
      </w:pPr>
      <w:r>
        <w:rPr>
          <w:sz w:val="20"/>
          <w:szCs w:val="20"/>
          <w:highlight w:val="yellow"/>
        </w:rPr>
        <w:t>Mario Rossi C.F. ABCDES58E27H501B- P.I. 023456789</w:t>
      </w:r>
    </w:p>
    <w:p>
      <w:pPr>
        <w:pStyle w:val="TextBody"/>
        <w:rPr/>
      </w:pPr>
      <w:r>
        <w:rPr>
          <w:sz w:val="20"/>
          <w:szCs w:val="20"/>
        </w:rPr>
        <w:t>Esercizio giornale 2017</w:t>
        <w:br/>
        <w:t>Esercizio bilancio 2017</w:t>
        <w:br/>
        <w:t xml:space="preserve">Data registrazione </w:t>
      </w:r>
      <w:r>
        <w:rPr>
          <w:sz w:val="20"/>
          <w:szCs w:val="20"/>
          <w:highlight w:val="yellow"/>
        </w:rPr>
        <w:t>3 marzo 2017</w:t>
      </w:r>
      <w:r>
        <w:rPr>
          <w:sz w:val="20"/>
          <w:szCs w:val="20"/>
        </w:rPr>
        <w:br/>
        <w:t xml:space="preserve">Causale: Pagamento </w:t>
      </w:r>
      <w:r>
        <w:rPr>
          <w:sz w:val="20"/>
          <w:szCs w:val="20"/>
          <w:highlight w:val="yellow"/>
        </w:rPr>
        <w:t>residuo debito, interessi, spese a Banca Popolare di Sostegno</w:t>
      </w:r>
      <w:r>
        <w:rPr>
          <w:sz w:val="20"/>
          <w:szCs w:val="20"/>
        </w:rPr>
        <w:br/>
        <w:t xml:space="preserve">Agente creatore: </w:t>
      </w:r>
      <w:r>
        <w:rPr>
          <w:sz w:val="20"/>
          <w:szCs w:val="20"/>
          <w:highlight w:val="yellow"/>
        </w:rPr>
        <w:t>Mario Rossi</w:t>
      </w:r>
    </w:p>
    <w:p>
      <w:pPr>
        <w:pStyle w:val="TextBody"/>
        <w:rPr>
          <w:sz w:val="20"/>
          <w:szCs w:val="20"/>
        </w:rPr>
      </w:pPr>
      <w:r>
        <w:rPr>
          <w:sz w:val="20"/>
          <w:szCs w:val="20"/>
        </w:rPr>
        <w:t xml:space="preserve">Data di ultima modifica:  </w:t>
      </w:r>
      <w:r>
        <w:rPr>
          <w:sz w:val="20"/>
          <w:szCs w:val="20"/>
          <w:highlight w:val="yellow"/>
        </w:rPr>
        <w:t>3 marzo 2017</w:t>
      </w:r>
    </w:p>
    <w:p>
      <w:pPr>
        <w:pStyle w:val="TextBody"/>
        <w:rPr/>
      </w:pPr>
      <w:r>
        <w:rPr>
          <w:sz w:val="20"/>
          <w:szCs w:val="20"/>
        </w:rPr>
        <w:t>Valuta scritturale: EUR</w:t>
      </w:r>
    </w:p>
    <w:tbl>
      <w:tblPr>
        <w:tblW w:w="5000" w:type="pct"/>
        <w:jc w:val="left"/>
        <w:tblInd w:w="28" w:type="dxa"/>
        <w:tblBorders/>
        <w:tblCellMar>
          <w:top w:w="28" w:type="dxa"/>
          <w:left w:w="28" w:type="dxa"/>
          <w:bottom w:w="28" w:type="dxa"/>
          <w:right w:w="28" w:type="dxa"/>
        </w:tblCellMar>
      </w:tblPr>
      <w:tblGrid>
        <w:gridCol w:w="2159"/>
        <w:gridCol w:w="2160"/>
        <w:gridCol w:w="2160"/>
        <w:gridCol w:w="2160"/>
      </w:tblGrid>
      <w:tr>
        <w:trPr>
          <w:tblHeader w:val="true"/>
        </w:trPr>
        <w:tc>
          <w:tcPr>
            <w:tcW w:w="2159" w:type="dxa"/>
            <w:tcBorders/>
            <w:shd w:fill="auto" w:val="clear"/>
            <w:vAlign w:val="center"/>
          </w:tcPr>
          <w:p>
            <w:pPr>
              <w:pStyle w:val="TableContents"/>
              <w:rPr/>
            </w:pPr>
            <w:r>
              <w:rPr>
                <w:rStyle w:val="StrongEmphasis"/>
              </w:rPr>
              <w:t>CONTI</w:t>
            </w:r>
          </w:p>
        </w:tc>
        <w:tc>
          <w:tcPr>
            <w:tcW w:w="2160" w:type="dxa"/>
            <w:tcBorders/>
            <w:shd w:fill="auto" w:val="clear"/>
            <w:vAlign w:val="center"/>
          </w:tcPr>
          <w:p>
            <w:pPr>
              <w:pStyle w:val="TableContents"/>
              <w:rPr>
                <w:sz w:val="4"/>
                <w:szCs w:val="4"/>
              </w:rPr>
            </w:pPr>
            <w:r>
              <w:rPr>
                <w:sz w:val="4"/>
                <w:szCs w:val="4"/>
              </w:rPr>
            </w:r>
          </w:p>
        </w:tc>
        <w:tc>
          <w:tcPr>
            <w:tcW w:w="2160" w:type="dxa"/>
            <w:tcBorders/>
            <w:shd w:fill="auto" w:val="clear"/>
            <w:vAlign w:val="center"/>
          </w:tcPr>
          <w:p>
            <w:pPr>
              <w:pStyle w:val="TableContents"/>
              <w:rPr>
                <w:sz w:val="4"/>
                <w:szCs w:val="4"/>
              </w:rPr>
            </w:pPr>
            <w:r>
              <w:rPr>
                <w:sz w:val="4"/>
                <w:szCs w:val="4"/>
              </w:rPr>
            </w:r>
          </w:p>
        </w:tc>
        <w:tc>
          <w:tcPr>
            <w:tcW w:w="2160" w:type="dxa"/>
            <w:tcBorders/>
            <w:shd w:fill="auto" w:val="clear"/>
            <w:vAlign w:val="center"/>
          </w:tcPr>
          <w:p>
            <w:pPr>
              <w:pStyle w:val="TableContents"/>
              <w:rPr>
                <w:sz w:val="4"/>
                <w:szCs w:val="4"/>
              </w:rPr>
            </w:pPr>
            <w:r>
              <w:rPr>
                <w:sz w:val="4"/>
                <w:szCs w:val="4"/>
              </w:rPr>
            </w:r>
          </w:p>
        </w:tc>
      </w:tr>
      <w:tr>
        <w:trPr/>
        <w:tc>
          <w:tcPr>
            <w:tcW w:w="2159" w:type="dxa"/>
            <w:tcBorders/>
            <w:shd w:fill="auto" w:val="clear"/>
            <w:vAlign w:val="center"/>
          </w:tcPr>
          <w:p>
            <w:pPr>
              <w:pStyle w:val="TableContents"/>
              <w:rPr/>
            </w:pPr>
            <w:r>
              <w:rPr/>
              <w:t>Conto</w:t>
            </w:r>
          </w:p>
        </w:tc>
        <w:tc>
          <w:tcPr>
            <w:tcW w:w="2160" w:type="dxa"/>
            <w:tcBorders/>
            <w:shd w:fill="auto" w:val="clear"/>
            <w:vAlign w:val="center"/>
          </w:tcPr>
          <w:p>
            <w:pPr>
              <w:pStyle w:val="TableContents"/>
              <w:rPr/>
            </w:pPr>
            <w:r>
              <w:rPr/>
              <w:t>Descrizione</w:t>
            </w:r>
          </w:p>
        </w:tc>
        <w:tc>
          <w:tcPr>
            <w:tcW w:w="2160" w:type="dxa"/>
            <w:tcBorders/>
            <w:shd w:fill="auto" w:val="clear"/>
            <w:vAlign w:val="center"/>
          </w:tcPr>
          <w:p>
            <w:pPr>
              <w:pStyle w:val="TableContents"/>
              <w:rPr/>
            </w:pPr>
            <w:r>
              <w:rPr/>
              <w:t>Dare</w:t>
            </w:r>
          </w:p>
        </w:tc>
        <w:tc>
          <w:tcPr>
            <w:tcW w:w="2160" w:type="dxa"/>
            <w:tcBorders/>
            <w:shd w:fill="auto" w:val="clear"/>
            <w:vAlign w:val="center"/>
          </w:tcPr>
          <w:p>
            <w:pPr>
              <w:pStyle w:val="TableContents"/>
              <w:rPr/>
            </w:pPr>
            <w:r>
              <w:rPr/>
              <w:t>Avere</w:t>
            </w:r>
          </w:p>
        </w:tc>
      </w:tr>
      <w:tr>
        <w:trPr/>
        <w:tc>
          <w:tcPr>
            <w:tcW w:w="2159" w:type="dxa"/>
            <w:tcBorders/>
            <w:shd w:fill="auto" w:val="clear"/>
            <w:vAlign w:val="center"/>
          </w:tcPr>
          <w:p>
            <w:pPr>
              <w:pStyle w:val="TableContents"/>
              <w:rPr/>
            </w:pPr>
            <w:r>
              <w:rPr/>
              <w:t>Cassa moneta scritturale</w:t>
            </w:r>
          </w:p>
        </w:tc>
        <w:tc>
          <w:tcPr>
            <w:tcW w:w="2160" w:type="dxa"/>
            <w:tcBorders/>
            <w:shd w:fill="auto" w:val="clear"/>
            <w:vAlign w:val="center"/>
          </w:tcPr>
          <w:p>
            <w:pPr>
              <w:pStyle w:val="Predefinito"/>
              <w:widowControl w:val="false"/>
              <w:spacing w:lineRule="auto" w:line="276" w:before="0" w:after="200"/>
              <w:rPr>
                <w:sz w:val="22"/>
              </w:rPr>
            </w:pPr>
            <w:r>
              <w:rPr>
                <w:sz w:val="22"/>
              </w:rPr>
            </w:r>
          </w:p>
        </w:tc>
        <w:tc>
          <w:tcPr>
            <w:tcW w:w="2160" w:type="dxa"/>
            <w:tcBorders/>
            <w:shd w:fill="auto" w:val="clear"/>
            <w:vAlign w:val="center"/>
          </w:tcPr>
          <w:p>
            <w:pPr>
              <w:pStyle w:val="Predefinito"/>
              <w:widowControl w:val="false"/>
              <w:spacing w:lineRule="auto" w:line="276" w:before="0" w:after="200"/>
              <w:rPr/>
            </w:pPr>
            <w:r>
              <w:rPr>
                <w:sz w:val="22"/>
              </w:rPr>
              <w:t xml:space="preserve"> </w:t>
            </w:r>
            <w:r>
              <w:rPr>
                <w:sz w:val="22"/>
                <w:highlight w:val="yellow"/>
              </w:rPr>
              <w:t>6.582,00</w:t>
            </w:r>
          </w:p>
        </w:tc>
        <w:tc>
          <w:tcPr>
            <w:tcW w:w="2160" w:type="dxa"/>
            <w:tcBorders/>
            <w:shd w:fill="auto" w:val="clear"/>
            <w:vAlign w:val="center"/>
          </w:tcPr>
          <w:p>
            <w:pPr>
              <w:pStyle w:val="TableContents"/>
              <w:rPr>
                <w:sz w:val="4"/>
                <w:szCs w:val="4"/>
              </w:rPr>
            </w:pPr>
            <w:r>
              <w:rPr>
                <w:sz w:val="4"/>
                <w:szCs w:val="4"/>
              </w:rPr>
            </w:r>
          </w:p>
        </w:tc>
      </w:tr>
      <w:tr>
        <w:trPr/>
        <w:tc>
          <w:tcPr>
            <w:tcW w:w="2159" w:type="dxa"/>
            <w:tcBorders/>
            <w:shd w:fill="auto" w:val="clear"/>
            <w:vAlign w:val="center"/>
          </w:tcPr>
          <w:p>
            <w:pPr>
              <w:pStyle w:val="TableContents"/>
              <w:rPr/>
            </w:pPr>
            <w:r>
              <w:rPr/>
              <w:t>Ricavi da creazione di moneta scritturale</w:t>
            </w:r>
          </w:p>
        </w:tc>
        <w:tc>
          <w:tcPr>
            <w:tcW w:w="2160" w:type="dxa"/>
            <w:tcBorders/>
            <w:shd w:fill="auto" w:val="clear"/>
            <w:vAlign w:val="center"/>
          </w:tcPr>
          <w:p>
            <w:pPr>
              <w:pStyle w:val="TableContents"/>
              <w:rPr>
                <w:sz w:val="4"/>
                <w:szCs w:val="4"/>
              </w:rPr>
            </w:pPr>
            <w:r>
              <w:rPr>
                <w:sz w:val="4"/>
                <w:szCs w:val="4"/>
              </w:rPr>
            </w:r>
          </w:p>
        </w:tc>
        <w:tc>
          <w:tcPr>
            <w:tcW w:w="2160" w:type="dxa"/>
            <w:tcBorders/>
            <w:shd w:fill="auto" w:val="clear"/>
            <w:vAlign w:val="center"/>
          </w:tcPr>
          <w:p>
            <w:pPr>
              <w:pStyle w:val="TableContents"/>
              <w:rPr>
                <w:sz w:val="4"/>
                <w:szCs w:val="4"/>
              </w:rPr>
            </w:pPr>
            <w:r>
              <w:rPr>
                <w:sz w:val="4"/>
                <w:szCs w:val="4"/>
              </w:rPr>
            </w:r>
          </w:p>
        </w:tc>
        <w:tc>
          <w:tcPr>
            <w:tcW w:w="2160" w:type="dxa"/>
            <w:tcBorders/>
            <w:shd w:fill="auto" w:val="clear"/>
            <w:vAlign w:val="center"/>
          </w:tcPr>
          <w:p>
            <w:pPr>
              <w:pStyle w:val="Predefinito"/>
              <w:widowControl w:val="false"/>
              <w:spacing w:lineRule="auto" w:line="276" w:before="0" w:after="200"/>
              <w:rPr/>
            </w:pPr>
            <w:r>
              <w:rPr>
                <w:sz w:val="22"/>
              </w:rPr>
              <w:t xml:space="preserve"> </w:t>
            </w:r>
            <w:r>
              <w:rPr>
                <w:sz w:val="22"/>
                <w:highlight w:val="yellow"/>
              </w:rPr>
              <w:t>6.582,00</w:t>
            </w:r>
          </w:p>
        </w:tc>
      </w:tr>
      <w:tr>
        <w:trPr/>
        <w:tc>
          <w:tcPr>
            <w:tcW w:w="2159" w:type="dxa"/>
            <w:tcBorders/>
            <w:shd w:fill="auto" w:val="clear"/>
            <w:vAlign w:val="center"/>
          </w:tcPr>
          <w:p>
            <w:pPr>
              <w:pStyle w:val="TableContents"/>
              <w:rPr/>
            </w:pPr>
            <w:r>
              <w:rPr>
                <w:rStyle w:val="StrongEmphasis"/>
              </w:rPr>
              <w:t>CONTI</w:t>
            </w:r>
          </w:p>
        </w:tc>
        <w:tc>
          <w:tcPr>
            <w:tcW w:w="2160" w:type="dxa"/>
            <w:tcBorders/>
            <w:shd w:fill="auto" w:val="clear"/>
            <w:vAlign w:val="center"/>
          </w:tcPr>
          <w:p>
            <w:pPr>
              <w:pStyle w:val="TableContents"/>
              <w:rPr>
                <w:sz w:val="4"/>
                <w:szCs w:val="4"/>
              </w:rPr>
            </w:pPr>
            <w:r>
              <w:rPr>
                <w:sz w:val="4"/>
                <w:szCs w:val="4"/>
              </w:rPr>
            </w:r>
          </w:p>
        </w:tc>
        <w:tc>
          <w:tcPr>
            <w:tcW w:w="2160" w:type="dxa"/>
            <w:tcBorders/>
            <w:shd w:fill="auto" w:val="clear"/>
            <w:vAlign w:val="center"/>
          </w:tcPr>
          <w:p>
            <w:pPr>
              <w:pStyle w:val="TableContents"/>
              <w:rPr>
                <w:sz w:val="4"/>
                <w:szCs w:val="4"/>
              </w:rPr>
            </w:pPr>
            <w:r>
              <w:rPr>
                <w:sz w:val="4"/>
                <w:szCs w:val="4"/>
              </w:rPr>
            </w:r>
          </w:p>
        </w:tc>
        <w:tc>
          <w:tcPr>
            <w:tcW w:w="2160" w:type="dxa"/>
            <w:tcBorders/>
            <w:shd w:fill="auto" w:val="clear"/>
            <w:vAlign w:val="center"/>
          </w:tcPr>
          <w:p>
            <w:pPr>
              <w:pStyle w:val="TableContents"/>
              <w:rPr>
                <w:sz w:val="4"/>
                <w:szCs w:val="4"/>
              </w:rPr>
            </w:pPr>
            <w:r>
              <w:rPr>
                <w:sz w:val="4"/>
                <w:szCs w:val="4"/>
              </w:rPr>
            </w:r>
          </w:p>
        </w:tc>
      </w:tr>
      <w:tr>
        <w:trPr/>
        <w:tc>
          <w:tcPr>
            <w:tcW w:w="2159" w:type="dxa"/>
            <w:tcBorders/>
            <w:shd w:fill="auto" w:val="clear"/>
            <w:vAlign w:val="center"/>
          </w:tcPr>
          <w:p>
            <w:pPr>
              <w:pStyle w:val="TableContents"/>
              <w:rPr/>
            </w:pPr>
            <w:r>
              <w:rPr/>
              <w:t xml:space="preserve">Debito verso </w:t>
            </w:r>
            <w:r>
              <w:rPr>
                <w:highlight w:val="yellow"/>
              </w:rPr>
              <w:t>xxxxxx</w:t>
            </w:r>
          </w:p>
        </w:tc>
        <w:tc>
          <w:tcPr>
            <w:tcW w:w="2160" w:type="dxa"/>
            <w:tcBorders/>
            <w:shd w:fill="auto" w:val="clear"/>
            <w:vAlign w:val="center"/>
          </w:tcPr>
          <w:p>
            <w:pPr>
              <w:pStyle w:val="TableContents"/>
              <w:rPr>
                <w:sz w:val="4"/>
                <w:szCs w:val="4"/>
              </w:rPr>
            </w:pPr>
            <w:r>
              <w:rPr>
                <w:sz w:val="4"/>
                <w:szCs w:val="4"/>
              </w:rPr>
            </w:r>
          </w:p>
        </w:tc>
        <w:tc>
          <w:tcPr>
            <w:tcW w:w="2160" w:type="dxa"/>
            <w:tcBorders/>
            <w:shd w:fill="auto" w:val="clear"/>
            <w:vAlign w:val="center"/>
          </w:tcPr>
          <w:p>
            <w:pPr>
              <w:pStyle w:val="Predefinito"/>
              <w:widowControl w:val="false"/>
              <w:spacing w:lineRule="auto" w:line="276" w:before="0" w:after="200"/>
              <w:rPr/>
            </w:pPr>
            <w:r>
              <w:rPr>
                <w:sz w:val="22"/>
              </w:rPr>
              <w:t xml:space="preserve"> </w:t>
            </w:r>
            <w:r>
              <w:rPr>
                <w:sz w:val="22"/>
                <w:highlight w:val="yellow"/>
              </w:rPr>
              <w:t>6.582,00</w:t>
            </w:r>
          </w:p>
        </w:tc>
        <w:tc>
          <w:tcPr>
            <w:tcW w:w="2160" w:type="dxa"/>
            <w:tcBorders/>
            <w:shd w:fill="auto" w:val="clear"/>
            <w:vAlign w:val="center"/>
          </w:tcPr>
          <w:p>
            <w:pPr>
              <w:pStyle w:val="TableContents"/>
              <w:rPr>
                <w:sz w:val="4"/>
                <w:szCs w:val="4"/>
              </w:rPr>
            </w:pPr>
            <w:r>
              <w:rPr>
                <w:sz w:val="4"/>
                <w:szCs w:val="4"/>
              </w:rPr>
            </w:r>
          </w:p>
        </w:tc>
      </w:tr>
      <w:tr>
        <w:trPr/>
        <w:tc>
          <w:tcPr>
            <w:tcW w:w="2159" w:type="dxa"/>
            <w:tcBorders/>
            <w:shd w:fill="auto" w:val="clear"/>
            <w:vAlign w:val="center"/>
          </w:tcPr>
          <w:p>
            <w:pPr>
              <w:pStyle w:val="TableContents"/>
              <w:rPr/>
            </w:pPr>
            <w:r>
              <w:rPr/>
              <w:t>Cassa moneta scritturale</w:t>
            </w:r>
          </w:p>
        </w:tc>
        <w:tc>
          <w:tcPr>
            <w:tcW w:w="2160" w:type="dxa"/>
            <w:tcBorders/>
            <w:shd w:fill="auto" w:val="clear"/>
            <w:vAlign w:val="center"/>
          </w:tcPr>
          <w:p>
            <w:pPr>
              <w:pStyle w:val="TableContents"/>
              <w:rPr>
                <w:sz w:val="4"/>
                <w:szCs w:val="4"/>
              </w:rPr>
            </w:pPr>
            <w:r>
              <w:rPr>
                <w:sz w:val="4"/>
                <w:szCs w:val="4"/>
              </w:rPr>
            </w:r>
          </w:p>
        </w:tc>
        <w:tc>
          <w:tcPr>
            <w:tcW w:w="2160" w:type="dxa"/>
            <w:tcBorders/>
            <w:shd w:fill="auto" w:val="clear"/>
            <w:vAlign w:val="center"/>
          </w:tcPr>
          <w:p>
            <w:pPr>
              <w:pStyle w:val="TableContents"/>
              <w:rPr/>
            </w:pPr>
            <w:r>
              <w:rPr/>
            </w:r>
          </w:p>
        </w:tc>
        <w:tc>
          <w:tcPr>
            <w:tcW w:w="2160" w:type="dxa"/>
            <w:tcBorders/>
            <w:shd w:fill="auto" w:val="clear"/>
            <w:vAlign w:val="center"/>
          </w:tcPr>
          <w:p>
            <w:pPr>
              <w:pStyle w:val="Predefinito"/>
              <w:widowControl w:val="false"/>
              <w:spacing w:lineRule="auto" w:line="276" w:before="0" w:after="200"/>
              <w:rPr>
                <w:sz w:val="4"/>
                <w:szCs w:val="4"/>
              </w:rPr>
            </w:pPr>
            <w:r>
              <w:rPr>
                <w:sz w:val="22"/>
                <w:szCs w:val="4"/>
                <w:highlight w:val="yellow"/>
              </w:rPr>
              <w:t>6.582,00</w:t>
            </w:r>
          </w:p>
        </w:tc>
      </w:tr>
      <w:tr>
        <w:trPr/>
        <w:tc>
          <w:tcPr>
            <w:tcW w:w="2159" w:type="dxa"/>
            <w:tcBorders/>
            <w:shd w:fill="auto" w:val="clear"/>
            <w:vAlign w:val="center"/>
          </w:tcPr>
          <w:p>
            <w:pPr>
              <w:pStyle w:val="TableContents"/>
              <w:rPr/>
            </w:pPr>
            <w:r>
              <w:rPr/>
            </w:r>
          </w:p>
        </w:tc>
        <w:tc>
          <w:tcPr>
            <w:tcW w:w="2160" w:type="dxa"/>
            <w:tcBorders/>
            <w:shd w:fill="auto" w:val="clear"/>
            <w:vAlign w:val="center"/>
          </w:tcPr>
          <w:p>
            <w:pPr>
              <w:pStyle w:val="TableContents"/>
              <w:rPr>
                <w:sz w:val="4"/>
                <w:szCs w:val="4"/>
              </w:rPr>
            </w:pPr>
            <w:r>
              <w:rPr>
                <w:sz w:val="4"/>
                <w:szCs w:val="4"/>
              </w:rPr>
            </w:r>
          </w:p>
        </w:tc>
        <w:tc>
          <w:tcPr>
            <w:tcW w:w="2160" w:type="dxa"/>
            <w:tcBorders/>
            <w:shd w:fill="auto" w:val="clear"/>
            <w:vAlign w:val="center"/>
          </w:tcPr>
          <w:p>
            <w:pPr>
              <w:pStyle w:val="TableContents"/>
              <w:rPr>
                <w:sz w:val="4"/>
                <w:szCs w:val="4"/>
              </w:rPr>
            </w:pPr>
            <w:r>
              <w:rPr>
                <w:sz w:val="4"/>
                <w:szCs w:val="4"/>
              </w:rPr>
            </w:r>
          </w:p>
        </w:tc>
        <w:tc>
          <w:tcPr>
            <w:tcW w:w="2160" w:type="dxa"/>
            <w:tcBorders/>
            <w:shd w:fill="auto" w:val="clear"/>
            <w:vAlign w:val="center"/>
          </w:tcPr>
          <w:p>
            <w:pPr>
              <w:pStyle w:val="Predefinito"/>
              <w:widowControl w:val="false"/>
              <w:spacing w:lineRule="auto" w:line="276" w:before="0" w:after="200"/>
              <w:rPr>
                <w:sz w:val="22"/>
                <w:highlight w:val="yellow"/>
              </w:rPr>
            </w:pPr>
            <w:r>
              <w:rPr>
                <w:sz w:val="22"/>
                <w:highlight w:val="yellow"/>
              </w:rPr>
            </w:r>
          </w:p>
        </w:tc>
      </w:tr>
    </w:tbl>
    <w:p>
      <w:pPr>
        <w:pStyle w:val="Predefinito"/>
        <w:widowControl w:val="false"/>
        <w:spacing w:lineRule="auto" w:line="276" w:before="0" w:after="200"/>
        <w:rPr/>
      </w:pPr>
      <w:r>
        <w:rPr/>
      </w:r>
    </w:p>
    <w:p>
      <w:pPr>
        <w:pStyle w:val="Predefinito"/>
        <w:widowControl w:val="false"/>
        <w:spacing w:lineRule="auto" w:line="276" w:before="0" w:after="200"/>
        <w:rPr/>
      </w:pPr>
      <w:r>
        <w:rPr>
          <w:sz w:val="22"/>
        </w:rPr>
        <w:t xml:space="preserve">DATA                 IMPORTO CREATO a cassa           VERSATO A SALDO </w:t>
      </w:r>
    </w:p>
    <w:p>
      <w:pPr>
        <w:pStyle w:val="Predefinito"/>
        <w:widowControl w:val="false"/>
        <w:spacing w:lineRule="auto" w:line="276" w:before="0" w:after="200"/>
        <w:rPr/>
      </w:pPr>
      <w:r>
        <w:rPr>
          <w:sz w:val="22"/>
        </w:rPr>
        <w:t xml:space="preserve">16.02.17             </w:t>
      </w:r>
      <w:r>
        <w:rPr>
          <w:sz w:val="22"/>
          <w:highlight w:val="yellow"/>
        </w:rPr>
        <w:t xml:space="preserve">6.582,00                                    Banca Popolare di Sostegno       </w:t>
      </w:r>
      <w:r>
        <w:rPr>
          <w:sz w:val="22"/>
        </w:rPr>
        <w:t xml:space="preserve">         </w:t>
      </w:r>
    </w:p>
    <w:p>
      <w:pPr>
        <w:pStyle w:val="Predefinito"/>
        <w:widowControl w:val="false"/>
        <w:spacing w:lineRule="auto" w:line="276" w:before="0" w:after="200"/>
        <w:rPr/>
      </w:pPr>
      <w:r>
        <w:rPr/>
      </w:r>
    </w:p>
    <w:p>
      <w:pPr>
        <w:pStyle w:val="Predefinito"/>
        <w:widowControl w:val="false"/>
        <w:spacing w:lineRule="auto" w:line="276" w:before="0" w:after="200"/>
        <w:rPr/>
      </w:pPr>
      <w:r>
        <w:rPr>
          <w:sz w:val="22"/>
        </w:rPr>
        <w:t xml:space="preserve">CASSA                                                             DEBITI VERSO </w:t>
      </w:r>
      <w:r>
        <w:rPr>
          <w:sz w:val="22"/>
          <w:highlight w:val="yellow"/>
        </w:rPr>
        <w:t>BANCA</w:t>
      </w:r>
    </w:p>
    <w:p>
      <w:pPr>
        <w:pStyle w:val="Predefinito"/>
        <w:widowControl w:val="false"/>
        <w:spacing w:lineRule="auto" w:line="276" w:before="0" w:after="200"/>
        <w:rPr/>
      </w:pPr>
      <w:r>
        <w:rPr>
          <w:sz w:val="22"/>
        </w:rPr>
        <w:t xml:space="preserve">Saldo iniziale  </w:t>
      </w:r>
      <w:r>
        <w:rPr>
          <w:sz w:val="22"/>
          <w:highlight w:val="yellow"/>
        </w:rPr>
        <w:t>0,00</w:t>
      </w:r>
    </w:p>
    <w:p>
      <w:pPr>
        <w:pStyle w:val="Predefinito"/>
        <w:widowControl w:val="false"/>
        <w:spacing w:lineRule="auto" w:line="276" w:before="0" w:after="200"/>
        <w:rPr/>
      </w:pPr>
      <w:r>
        <w:rPr>
          <w:sz w:val="22"/>
        </w:rPr>
        <w:t xml:space="preserve">CREAZIONE EURO + </w:t>
      </w:r>
      <w:r>
        <w:rPr>
          <w:sz w:val="22"/>
          <w:highlight w:val="yellow"/>
        </w:rPr>
        <w:t xml:space="preserve">6.582,00 </w:t>
      </w:r>
      <w:r>
        <w:rPr>
          <w:sz w:val="22"/>
        </w:rPr>
        <w:t xml:space="preserve">                        PAGAM. </w:t>
      </w:r>
      <w:r>
        <w:rPr>
          <w:sz w:val="22"/>
          <w:highlight w:val="yellow"/>
        </w:rPr>
        <w:t>BANCA</w:t>
      </w:r>
      <w:r>
        <w:rPr>
          <w:sz w:val="22"/>
        </w:rPr>
        <w:t xml:space="preserve">      </w:t>
      </w:r>
      <w:r>
        <w:rPr>
          <w:sz w:val="22"/>
          <w:highlight w:val="yellow"/>
        </w:rPr>
        <w:t>- 6.582,00</w:t>
      </w:r>
    </w:p>
    <w:p>
      <w:pPr>
        <w:pStyle w:val="Predefinito"/>
        <w:widowControl w:val="false"/>
        <w:spacing w:lineRule="auto" w:line="276" w:before="0" w:after="200"/>
        <w:rPr/>
      </w:pPr>
      <w:r>
        <w:rPr>
          <w:sz w:val="22"/>
        </w:rPr>
        <w:t xml:space="preserve">Saldo finale    </w:t>
      </w:r>
      <w:r>
        <w:rPr>
          <w:sz w:val="22"/>
          <w:highlight w:val="yellow"/>
        </w:rPr>
        <w:t>0,00</w:t>
      </w:r>
      <w:r>
        <w:rPr>
          <w:sz w:val="22"/>
        </w:rPr>
        <w:t xml:space="preserve">                                                                                            </w:t>
      </w:r>
    </w:p>
    <w:p>
      <w:pPr>
        <w:pStyle w:val="Predefinito"/>
        <w:widowControl w:val="false"/>
        <w:spacing w:lineRule="auto" w:line="276" w:before="0" w:after="200"/>
        <w:rPr/>
      </w:pPr>
      <w:r>
        <w:rPr/>
      </w:r>
    </w:p>
    <w:p>
      <w:pPr>
        <w:pStyle w:val="Normal"/>
        <w:spacing w:lineRule="auto" w:line="276" w:before="0" w:after="200"/>
        <w:rPr>
          <w:sz w:val="20"/>
          <w:szCs w:val="20"/>
        </w:rPr>
      </w:pPr>
      <w:r>
        <w:rPr>
          <w:rFonts w:ascii="Ubuntu" w:hAnsi="Ubuntu"/>
          <w:i/>
          <w:iCs/>
          <w:color w:val="00000A"/>
          <w:sz w:val="20"/>
          <w:szCs w:val="20"/>
        </w:rPr>
        <w:t xml:space="preserve">( N.B. Bilancio: </w:t>
      </w:r>
      <w:r>
        <w:rPr>
          <w:rFonts w:ascii="Ubuntu" w:hAnsi="Ubuntu"/>
          <w:b/>
          <w:bCs/>
          <w:i/>
          <w:iCs/>
          <w:color w:val="00000A"/>
          <w:sz w:val="20"/>
          <w:szCs w:val="20"/>
        </w:rPr>
        <w:t>nel caso di società</w:t>
      </w:r>
      <w:r>
        <w:rPr>
          <w:rFonts w:ascii="Ubuntu" w:hAnsi="Ubuntu"/>
          <w:i/>
          <w:iCs/>
          <w:color w:val="00000A"/>
          <w:sz w:val="20"/>
          <w:szCs w:val="20"/>
        </w:rPr>
        <w:t xml:space="preserve"> che crea gli euro virtuali, le scritture corrette in partita doppia sono le seguenti:</w:t>
      </w:r>
    </w:p>
    <w:p>
      <w:pPr>
        <w:pStyle w:val="Predefinito"/>
        <w:numPr>
          <w:ilvl w:val="0"/>
          <w:numId w:val="1"/>
        </w:numPr>
        <w:spacing w:lineRule="auto" w:line="276" w:before="0" w:after="200"/>
        <w:rPr>
          <w:sz w:val="20"/>
          <w:szCs w:val="20"/>
        </w:rPr>
      </w:pPr>
      <w:r>
        <w:rPr>
          <w:rFonts w:ascii="Ubuntu" w:hAnsi="Ubuntu"/>
          <w:i/>
          <w:iCs/>
          <w:color w:val="00000A"/>
          <w:sz w:val="20"/>
          <w:szCs w:val="20"/>
        </w:rPr>
        <w:t>Creazione di moneta scritturale:</w:t>
      </w:r>
    </w:p>
    <w:p>
      <w:pPr>
        <w:pStyle w:val="Predefinito"/>
        <w:spacing w:lineRule="auto" w:line="276" w:before="0" w:after="200"/>
        <w:rPr>
          <w:i/>
          <w:i/>
          <w:iCs/>
        </w:rPr>
      </w:pPr>
      <w:r>
        <w:rPr>
          <w:rFonts w:ascii="Ubuntu" w:hAnsi="Ubuntu"/>
          <w:i/>
          <w:iCs/>
          <w:color w:val="00000A"/>
          <w:sz w:val="20"/>
          <w:szCs w:val="20"/>
        </w:rPr>
        <w:t xml:space="preserve">Cassa (attivo di Stato Patrimoniale)   a  Ricavi da creaz. Mon. (Ricavi di Conto Economico)   </w:t>
      </w:r>
      <w:r>
        <w:rPr>
          <w:rFonts w:ascii="Ubuntu" w:hAnsi="Ubuntu"/>
          <w:i/>
          <w:iCs/>
          <w:color w:val="00000A"/>
          <w:sz w:val="20"/>
          <w:szCs w:val="20"/>
          <w:highlight w:val="yellow"/>
        </w:rPr>
        <w:t xml:space="preserve"> € 6.582</w:t>
      </w:r>
    </w:p>
    <w:p>
      <w:pPr>
        <w:pStyle w:val="Predefinito"/>
        <w:widowControl w:val="false"/>
        <w:numPr>
          <w:ilvl w:val="0"/>
          <w:numId w:val="1"/>
        </w:numPr>
        <w:spacing w:lineRule="auto" w:line="276" w:before="0" w:after="200"/>
        <w:rPr>
          <w:rFonts w:ascii="Ubuntu" w:hAnsi="Ubuntu"/>
          <w:sz w:val="20"/>
          <w:szCs w:val="20"/>
        </w:rPr>
      </w:pPr>
      <w:r>
        <w:rPr>
          <w:rFonts w:ascii="Ubuntu" w:hAnsi="Ubuntu"/>
          <w:i/>
          <w:iCs/>
          <w:color w:val="00000A"/>
          <w:sz w:val="20"/>
          <w:szCs w:val="20"/>
        </w:rPr>
        <w:t xml:space="preserve">Pagamento al creditore del debito esistente pari ad € </w:t>
      </w:r>
      <w:r>
        <w:rPr>
          <w:rFonts w:ascii="Ubuntu" w:hAnsi="Ubuntu"/>
          <w:i/>
          <w:iCs/>
          <w:color w:val="00000A"/>
          <w:sz w:val="20"/>
          <w:szCs w:val="20"/>
          <w:highlight w:val="yellow"/>
        </w:rPr>
        <w:t>6.582</w:t>
      </w:r>
      <w:r>
        <w:rPr>
          <w:rFonts w:ascii="Ubuntu" w:hAnsi="Ubuntu"/>
          <w:i/>
          <w:iCs/>
          <w:color w:val="00000A"/>
          <w:sz w:val="20"/>
          <w:szCs w:val="20"/>
        </w:rPr>
        <w:t xml:space="preserve"> )</w:t>
        <w:tab/>
      </w:r>
    </w:p>
    <w:p>
      <w:pPr>
        <w:pStyle w:val="Predefinito"/>
        <w:widowControl w:val="false"/>
        <w:numPr>
          <w:ilvl w:val="0"/>
          <w:numId w:val="1"/>
        </w:numPr>
        <w:spacing w:lineRule="auto" w:line="276" w:before="0" w:after="200"/>
        <w:rPr/>
      </w:pPr>
      <w:r>
        <w:rPr>
          <w:rFonts w:ascii="Ubuntu" w:hAnsi="Ubuntu"/>
          <w:i/>
          <w:iCs/>
          <w:color w:val="00000A"/>
          <w:sz w:val="20"/>
          <w:szCs w:val="20"/>
        </w:rPr>
        <w:t xml:space="preserve">Debito Vs. </w:t>
      </w:r>
      <w:bookmarkStart w:id="2" w:name="_GoBack"/>
      <w:bookmarkEnd w:id="2"/>
      <w:r>
        <w:rPr>
          <w:rFonts w:ascii="Ubuntu" w:hAnsi="Ubuntu"/>
          <w:i/>
          <w:iCs/>
          <w:color w:val="00000A"/>
          <w:sz w:val="20"/>
          <w:szCs w:val="20"/>
          <w:highlight w:val="yellow"/>
        </w:rPr>
        <w:t>CREDITORE</w:t>
      </w:r>
      <w:r>
        <w:rPr>
          <w:rFonts w:ascii="Ubuntu" w:hAnsi="Ubuntu"/>
          <w:i/>
          <w:iCs/>
          <w:color w:val="00000A"/>
          <w:sz w:val="20"/>
          <w:szCs w:val="20"/>
        </w:rPr>
        <w:t xml:space="preserve"> </w:t>
        <w:tab/>
        <w:t>a    Cassa</w:t>
        <w:tab/>
        <w:tab/>
      </w:r>
      <w:r>
        <w:rPr>
          <w:rFonts w:ascii="Ubuntu" w:hAnsi="Ubuntu"/>
          <w:i/>
          <w:iCs/>
          <w:color w:val="00000A"/>
          <w:sz w:val="20"/>
          <w:szCs w:val="20"/>
          <w:highlight w:val="yellow"/>
        </w:rPr>
        <w:t>€ 6.582</w:t>
      </w:r>
      <w:r>
        <w:rPr>
          <w:rFonts w:ascii="Ubuntu" w:hAnsi="Ubuntu"/>
          <w:i/>
          <w:iCs/>
          <w:color w:val="00000A"/>
          <w:sz w:val="20"/>
          <w:szCs w:val="20"/>
        </w:rPr>
        <w:t xml:space="preserve"> </w:t>
        <w:tab/>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Calibri">
    <w:charset w:val="01"/>
    <w:family w:val="roman"/>
    <w:pitch w:val="variable"/>
  </w:font>
  <w:font w:name="Arial">
    <w:charset w:val="01"/>
    <w:family w:val="roman"/>
    <w:pitch w:val="variable"/>
  </w:font>
  <w:font w:name="Ubuntu">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6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it-IT" w:eastAsia="zh-CN" w:bidi="hi-IN"/>
      </w:rPr>
    </w:rPrDefault>
    <w:pPrDefault>
      <w:pPr/>
    </w:pPrDefault>
  </w:docDefaults>
  <w:style w:type="paragraph" w:styleId="Normal">
    <w:name w:val="Normal"/>
    <w:qFormat/>
    <w:pPr>
      <w:widowControl w:val="false"/>
      <w:bidi w:val="0"/>
      <w:jc w:val="left"/>
    </w:pPr>
    <w:rPr>
      <w:rFonts w:ascii="Liberation Serif" w:hAnsi="Liberation Serif" w:eastAsia="Noto Sans CJK SC Regular" w:cs="FreeSans"/>
      <w:color w:val="00000A"/>
      <w:sz w:val="24"/>
      <w:szCs w:val="24"/>
      <w:lang w:val="it-IT" w:eastAsia="zh-CN" w:bidi="hi-IN"/>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definito">
    <w:name w:val="Predefinito"/>
    <w:qFormat/>
    <w:pPr>
      <w:widowControl w:val="false"/>
      <w:bidi w:val="0"/>
      <w:jc w:val="left"/>
    </w:pPr>
    <w:rPr>
      <w:rFonts w:ascii="Calibri" w:hAnsi="Calibri" w:eastAsia="Calibri" w:cs="Calibri"/>
      <w:color w:val="000000"/>
      <w:sz w:val="24"/>
      <w:szCs w:val="24"/>
      <w:lang w:val="it-IT" w:eastAsia="it-IT" w:bidi="hi-IN"/>
    </w:rPr>
  </w:style>
  <w:style w:type="paragraph" w:styleId="Intestazione">
    <w:name w:val="Intestazione"/>
    <w:basedOn w:val="Predefinito"/>
    <w:qFormat/>
    <w:pPr>
      <w:keepNext/>
      <w:spacing w:before="240" w:after="120"/>
    </w:pPr>
    <w:rPr>
      <w:rFonts w:ascii="Arial" w:hAnsi="Arial" w:eastAsia="Arial" w:cs="Microsoft YaHei"/>
      <w:sz w:val="28"/>
    </w:rPr>
  </w:style>
  <w:style w:type="paragraph" w:styleId="Corpotesto">
    <w:name w:val="Corpo testo"/>
    <w:basedOn w:val="Predefinito"/>
    <w:qFormat/>
    <w:pPr>
      <w:spacing w:before="0" w:after="120"/>
    </w:pPr>
    <w:rPr/>
  </w:style>
  <w:style w:type="paragraph" w:styleId="Elenco">
    <w:name w:val="Elenco"/>
    <w:basedOn w:val="Corpotesto"/>
    <w:qFormat/>
    <w:pPr>
      <w:spacing w:before="0" w:after="120"/>
    </w:pPr>
    <w:rPr>
      <w:rFonts w:eastAsia="Arial"/>
    </w:rPr>
  </w:style>
  <w:style w:type="paragraph" w:styleId="Didascalia">
    <w:name w:val="Didascalia"/>
    <w:basedOn w:val="Predefinito"/>
    <w:qFormat/>
    <w:pPr>
      <w:spacing w:before="120" w:after="120"/>
    </w:pPr>
    <w:rPr>
      <w:rFonts w:eastAsia="Arial"/>
      <w:i/>
      <w:sz w:val="24"/>
    </w:rPr>
  </w:style>
  <w:style w:type="paragraph" w:styleId="Indice">
    <w:name w:val="Indice"/>
    <w:basedOn w:val="Predefinito"/>
    <w:qFormat/>
    <w:pPr/>
    <w:rPr>
      <w:rFonts w:eastAsia="Arial"/>
    </w:rPr>
  </w:style>
  <w:style w:type="paragraph" w:styleId="TableContents">
    <w:name w:val="Table Contents"/>
    <w:basedOn w:val="Normal"/>
    <w:qFormat/>
    <w:pPr/>
    <w:rPr/>
  </w:style>
  <w:style w:type="paragraph" w:styleId="TableHeading">
    <w:name w:val="Table Heading"/>
    <w:basedOn w:val="TableContents"/>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ancaditalia@pec.bancaditalia.it" TargetMode="External"/><Relationship Id="rId3" Type="http://schemas.openxmlformats.org/officeDocument/2006/relationships/hyperlink" Target="mailto:protocollo.agcm@pec.agcm.it" TargetMode="External"/><Relationship Id="rId4" Type="http://schemas.openxmlformats.org/officeDocument/2006/relationships/hyperlink" Target="https://www.youtube.com/watch?v=WPmObU-V4lk" TargetMode="External"/><Relationship Id="rId5" Type="http://schemas.openxmlformats.org/officeDocument/2006/relationships/hyperlink" Target="https://www.scribd.com/document/340805543/Prova-forense-Banca-d-Italia-su-creazione-di-moneta-e-di-depositi"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97</TotalTime>
  <Application>LibreOffice/5.1.6.2$Linux_X86_64 LibreOffice_project/10m0$Build-2</Application>
  <Pages>3</Pages>
  <Words>650</Words>
  <Characters>3867</Characters>
  <CharactersWithSpaces>4759</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2017-04-14T12:17:50Z</dcterms:modified>
  <cp:revision>37</cp:revision>
  <dc:subject/>
  <dc:title/>
</cp:coreProperties>
</file>